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3F" w:rsidRDefault="00F2293F" w:rsidP="009D7DEA">
      <w:pPr>
        <w:jc w:val="center"/>
        <w:rPr>
          <w:b/>
          <w:sz w:val="28"/>
        </w:rPr>
      </w:pPr>
      <w:r>
        <w:rPr>
          <w:b/>
          <w:sz w:val="28"/>
        </w:rPr>
        <w:t>EMC Mini-Grant Application</w:t>
      </w:r>
    </w:p>
    <w:p w:rsidR="009D7DEA" w:rsidRPr="009D7DEA" w:rsidRDefault="009D7DEA" w:rsidP="009D7DEA">
      <w:pPr>
        <w:jc w:val="center"/>
        <w:rPr>
          <w:b/>
          <w:sz w:val="28"/>
        </w:rPr>
      </w:pPr>
      <w:r w:rsidRPr="009D7DEA">
        <w:rPr>
          <w:b/>
          <w:sz w:val="28"/>
        </w:rPr>
        <w:t>Mini</w:t>
      </w:r>
      <w:r w:rsidR="00F2293F">
        <w:rPr>
          <w:b/>
          <w:sz w:val="28"/>
        </w:rPr>
        <w:t>-</w:t>
      </w:r>
      <w:r w:rsidRPr="009D7DEA">
        <w:rPr>
          <w:b/>
          <w:sz w:val="28"/>
        </w:rPr>
        <w:t xml:space="preserve">Grant to Support “A Growth Mindset </w:t>
      </w:r>
      <w:r w:rsidR="00A31BFF">
        <w:rPr>
          <w:b/>
          <w:sz w:val="28"/>
        </w:rPr>
        <w:t>Resource Library</w:t>
      </w:r>
      <w:r w:rsidRPr="009D7DEA">
        <w:rPr>
          <w:b/>
          <w:sz w:val="28"/>
        </w:rPr>
        <w:t>”</w:t>
      </w:r>
    </w:p>
    <w:p w:rsidR="007870E3" w:rsidRPr="00F2293F" w:rsidRDefault="000F389C">
      <w:pPr>
        <w:rPr>
          <w:u w:val="single"/>
        </w:rPr>
      </w:pPr>
      <w:r w:rsidRPr="00F2293F">
        <w:rPr>
          <w:u w:val="single"/>
        </w:rPr>
        <w:t>Describe the objectives of your project and why it is needed.</w:t>
      </w:r>
    </w:p>
    <w:p w:rsidR="009D7DEA" w:rsidRDefault="00B97B59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Research</w:t>
      </w:r>
      <w:r w:rsidR="00363FD3" w:rsidRP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by Carol Dweck out of Stanford University has </w:t>
      </w:r>
      <w:r w:rsidR="00CF13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introduced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 theory that can increase student achievement by </w:t>
      </w:r>
      <w:r w:rsidR="00363FD3" w:rsidRP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teaching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them</w:t>
      </w:r>
      <w:r w:rsidR="00363FD3" w:rsidRP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about their brains and the learning process</w:t>
      </w:r>
      <w:r w:rsidR="00AE2E92" w:rsidRP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 Th</w:t>
      </w:r>
      <w:r w:rsidR="00CF13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is </w:t>
      </w:r>
      <w:r w:rsidR="00AE2E92" w:rsidRP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theory is called </w:t>
      </w:r>
      <w:r w:rsidR="002A3909" w:rsidRPr="00AE2E92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Growth Mindset</w:t>
      </w:r>
      <w:r w:rsidR="00AE2E92" w:rsidRP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and there has been a vast amount of research that supports the positive outcomes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</w:t>
      </w:r>
      <w:r w:rsidR="00E2000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[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See research by </w:t>
      </w:r>
      <w:r w:rsidR="00E2000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Claro,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Paunesku</w:t>
      </w:r>
      <w:r w:rsidR="00CF13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 w:rsidR="00E2000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and Dweck (2015) &amp; </w:t>
      </w:r>
      <w:r w:rsidR="00CF13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Blackwell</w:t>
      </w:r>
      <w:r w:rsidR="00E2000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, Trzesniewski </w:t>
      </w:r>
      <w:r w:rsidR="00CF13A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and </w:t>
      </w:r>
      <w:r w:rsidR="00E2000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Dweck (2007)].Growth Mindset theory entails teaching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mindfulness, </w:t>
      </w:r>
      <w:r w:rsidR="00EF4D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brain basics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 w:rsidR="00EF4D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the importance of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grit and determination, the power of self-talk, and how everyone learns different</w:t>
      </w:r>
      <w:r w:rsid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ly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</w:t>
      </w:r>
      <w:r w:rsidR="002A3909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Growth mindset promotes that</w:t>
      </w:r>
      <w:r w:rsidR="002A3909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intellect</w:t>
      </w:r>
      <w:r w:rsidR="002A3909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and innate talent are just the starting point, </w:t>
      </w:r>
      <w:r w:rsidR="00EF4D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and 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that</w:t>
      </w:r>
      <w:r w:rsidR="002A3909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one’s ability can be developed through dedication and hard work. It is an exciting theory to teach students so that students </w:t>
      </w:r>
      <w:r w:rsidR="00EF4D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are inspire to 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grow their brains and find success in both academic and personal outcomes. </w:t>
      </w:r>
    </w:p>
    <w:p w:rsidR="002A3909" w:rsidRDefault="00CF13A1"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Why is this project needed? All students deserve to </w:t>
      </w:r>
      <w:r w:rsidR="0037309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learn about how they can do better in school. We want to be able 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to integrate the </w:t>
      </w:r>
      <w:r w:rsidR="00B97B5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g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row</w:t>
      </w:r>
      <w:r w:rsidR="004228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</w:t>
      </w:r>
      <w:r w:rsidR="002A390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h </w:t>
      </w:r>
      <w:r w:rsidR="00B97B5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</w:t>
      </w:r>
      <w:r w:rsidR="004228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indset theory </w:t>
      </w:r>
      <w:r w:rsidR="00B97B5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into our school and community</w:t>
      </w:r>
      <w:r w:rsidR="004228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so that </w:t>
      </w:r>
      <w:r w:rsidR="00B97B5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we can increase ou</w:t>
      </w:r>
      <w:r w:rsidR="0037309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</w:t>
      </w:r>
      <w:r w:rsidR="00B97B5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student achievement </w:t>
      </w:r>
      <w:r w:rsidR="0037309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and to promote </w:t>
      </w:r>
      <w:r w:rsidR="004228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our school culture </w:t>
      </w:r>
      <w:r w:rsidR="0037309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as one that values</w:t>
      </w:r>
      <w:r w:rsidR="004228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effort, perseverance, and success.</w:t>
      </w:r>
      <w:r w:rsidR="007562D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We need this program at our school so that students in our community can benefit from the world-renowned researchers </w:t>
      </w:r>
      <w:r w:rsidR="0037309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that have proven that teaching growth mindset leads to positive results in students.</w:t>
      </w:r>
      <w:r w:rsidR="00AE2E9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F389C" w:rsidRDefault="000F389C">
      <w:r w:rsidRPr="00F2293F">
        <w:rPr>
          <w:u w:val="single"/>
        </w:rPr>
        <w:t>How many students will be affected by this project?</w:t>
      </w:r>
      <w:r w:rsidR="009D7DEA">
        <w:t xml:space="preserve"> </w:t>
      </w:r>
      <w:r w:rsidR="009D7DEA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720 Students </w:t>
      </w:r>
      <w:r w:rsidR="00F2293F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+ Parents and Teachers of </w:t>
      </w:r>
      <w:r w:rsidR="0037309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our </w:t>
      </w:r>
      <w:r w:rsidR="00F2293F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Community</w:t>
      </w:r>
    </w:p>
    <w:p w:rsidR="000F389C" w:rsidRPr="00F2293F" w:rsidRDefault="000F389C">
      <w:pPr>
        <w:rPr>
          <w:u w:val="single"/>
        </w:rPr>
      </w:pPr>
      <w:r w:rsidRPr="00F2293F">
        <w:rPr>
          <w:u w:val="single"/>
        </w:rPr>
        <w:t>What methods will be used to make the project a success?</w:t>
      </w:r>
    </w:p>
    <w:p w:rsidR="000727A9" w:rsidRPr="00F2293F" w:rsidRDefault="007562D3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This Growth Mindset </w:t>
      </w:r>
      <w:r w:rsid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Resource Library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will </w:t>
      </w:r>
      <w:r w:rsid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provide books for our counselors and teachers to use with our students in K-5 students</w:t>
      </w:r>
      <w:r w:rsidR="000727A9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 Additionally, there will be</w:t>
      </w:r>
      <w:r w:rsid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parent resources available for checkout and explained at our</w:t>
      </w:r>
      <w:r w:rsidR="000727A9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parent workshop</w:t>
      </w:r>
      <w:r w:rsid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</w:t>
      </w:r>
      <w:r w:rsidR="006E5543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7562D3" w:rsidRPr="00F2293F" w:rsidRDefault="006E5543">
      <w:pPr>
        <w:rPr>
          <w:u w:val="single"/>
        </w:rPr>
      </w:pPr>
      <w:r w:rsidRPr="00F2293F">
        <w:rPr>
          <w:u w:val="single"/>
        </w:rPr>
        <w:t xml:space="preserve">How will we do this? </w:t>
      </w:r>
    </w:p>
    <w:p w:rsidR="007E381E" w:rsidRPr="00F2293F" w:rsidRDefault="007E381E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In the 2017-18 Year:</w:t>
      </w:r>
    </w:p>
    <w:p w:rsidR="006E5543" w:rsidRDefault="000727A9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Students in Kindergarten through 5th: </w:t>
      </w:r>
      <w:r w:rsidR="00650C2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Teachers will incorporate growth mindset theory into their classroom lessons. Also, c</w:t>
      </w:r>
      <w:r w:rsidR="006E5543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unselors will go into classroom to do lessons every other week for a minimum of 3 lessons covering</w:t>
      </w:r>
      <w:r w:rsidR="00C02EA0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the concepts of growth mindset this academic year.</w:t>
      </w:r>
      <w:r w:rsidR="00650C2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F2293F" w:rsidRPr="00F2293F" w:rsidRDefault="00F2293F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Small Group Counseling: Counselors will incorporate growth mindset theory into small group counseling by using the curriculum </w:t>
      </w:r>
      <w:r w:rsidRPr="00650C25">
        <w:rPr>
          <w:rStyle w:val="normaltextrun"/>
          <w:rFonts w:ascii="Arial" w:hAnsi="Arial" w:cs="Arial"/>
          <w:b/>
          <w:bCs/>
          <w:i/>
          <w:color w:val="000000"/>
          <w:shd w:val="clear" w:color="auto" w:fill="FFFFFF"/>
        </w:rPr>
        <w:t>Mindset Matters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(King, 2016).</w:t>
      </w:r>
    </w:p>
    <w:p w:rsidR="000727A9" w:rsidRPr="00F2293F" w:rsidRDefault="000727A9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Professional Development: Teachers will attend breakout sessions learning about practical applications for integrating growth mindset with lessons, posters, and storybooks to read. Books will be available for checkout </w:t>
      </w:r>
      <w:r w:rsidR="00C02EA0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to read in their classrooms as well as for 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book study opportunities. </w:t>
      </w:r>
    </w:p>
    <w:p w:rsidR="000727A9" w:rsidRPr="00F2293F" w:rsidRDefault="000727A9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Parent Workshop: </w:t>
      </w:r>
      <w:r w:rsid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Parent</w:t>
      </w:r>
      <w:r w:rsidR="007E381E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Growth Mindset workshop</w:t>
      </w:r>
      <w:r w:rsid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in August 2017 generated a great deal of parent interest. Using the email list from that workshop and in a general all-school email blast, parents 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will be invited to </w:t>
      </w:r>
      <w:r w:rsidR="007E381E"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check out the resources we accumulate so that they can further u</w:t>
      </w:r>
      <w:r w:rsidRPr="00F229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nderstand the concepts of growth mindset so that they can help their children succeed.</w:t>
      </w:r>
    </w:p>
    <w:p w:rsidR="000F389C" w:rsidRDefault="000F389C">
      <w:r>
        <w:t>Will the Mini-</w:t>
      </w:r>
      <w:r w:rsidR="00EA21CF">
        <w:t>Grant</w:t>
      </w:r>
      <w:r>
        <w:t xml:space="preserve"> be </w:t>
      </w:r>
      <w:r w:rsidR="00EA21CF">
        <w:t>used</w:t>
      </w:r>
      <w:r>
        <w:t xml:space="preserve"> to fund a larger project?</w:t>
      </w:r>
      <w:r w:rsidRPr="00650C25">
        <w:rPr>
          <w:b/>
        </w:rPr>
        <w:t xml:space="preserve"> </w:t>
      </w:r>
      <w:r w:rsidR="00650C25" w:rsidRPr="00650C2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This mini-grant will fund this project fully.</w:t>
      </w:r>
    </w:p>
    <w:p w:rsidR="00EA21CF" w:rsidRDefault="00EA21CF"/>
    <w:p w:rsidR="000F389C" w:rsidRDefault="000F389C">
      <w:r>
        <w:t xml:space="preserve">Detail your budget request. Include the materials, </w:t>
      </w:r>
      <w:r w:rsidR="00A2387A">
        <w:t>equipment</w:t>
      </w:r>
      <w:r>
        <w:t>, sources of supplies, costs</w:t>
      </w:r>
    </w:p>
    <w:p w:rsidR="002A3909" w:rsidRDefault="002A3909"/>
    <w:tbl>
      <w:tblPr>
        <w:tblW w:w="1071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2136"/>
        <w:gridCol w:w="893"/>
        <w:gridCol w:w="934"/>
        <w:gridCol w:w="1099"/>
      </w:tblGrid>
      <w:tr w:rsidR="00923572" w:rsidRPr="002A3909" w:rsidTr="00923572"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Item  </w:t>
            </w:r>
          </w:p>
        </w:tc>
        <w:tc>
          <w:tcPr>
            <w:tcW w:w="213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Vendor </w:t>
            </w:r>
          </w:p>
        </w:tc>
        <w:tc>
          <w:tcPr>
            <w:tcW w:w="89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Quantity </w:t>
            </w:r>
          </w:p>
        </w:tc>
        <w:tc>
          <w:tcPr>
            <w:tcW w:w="93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Cost </w:t>
            </w:r>
          </w:p>
        </w:tc>
        <w:tc>
          <w:tcPr>
            <w:tcW w:w="109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Total </w:t>
            </w:r>
          </w:p>
        </w:tc>
      </w:tr>
      <w:tr w:rsidR="00923572" w:rsidRPr="002A3909" w:rsidTr="00205277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2D8E" w:rsidRPr="00695A03" w:rsidRDefault="00695A03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i/>
              </w:rPr>
            </w:pPr>
            <w:r w:rsidRPr="00695A03">
              <w:rPr>
                <w:rFonts w:ascii="Calibri" w:eastAsia="Times New Roman" w:hAnsi="Calibri" w:cs="Calibri"/>
                <w:b/>
                <w:i/>
                <w:sz w:val="24"/>
              </w:rPr>
              <w:t>Teacher/Parent Resources</w:t>
            </w:r>
          </w:p>
        </w:tc>
        <w:tc>
          <w:tcPr>
            <w:tcW w:w="1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2D8E" w:rsidRPr="002A3909" w:rsidRDefault="00A92D8E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2D8E" w:rsidRPr="002A3909" w:rsidRDefault="00A92D8E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2D8E" w:rsidRPr="002A3909" w:rsidRDefault="00A92D8E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2D8E" w:rsidRPr="002A3909" w:rsidRDefault="00A92D8E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923572" w:rsidRPr="002A3909" w:rsidTr="00205277"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695A03" w:rsidP="00695A03">
            <w:r>
              <w:t>Mindset For Parents by Mary Kay Ricci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0C24FE" w:rsidRDefault="00695A03" w:rsidP="00695A03">
            <w:r w:rsidRPr="000C24FE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923572" w:rsidP="00695A03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695A03" w:rsidP="00695A03">
            <w:r>
              <w:t>11.52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923572" w:rsidP="00695A03">
            <w:r>
              <w:t>34.56</w:t>
            </w:r>
          </w:p>
        </w:tc>
      </w:tr>
      <w:tr w:rsidR="00923572" w:rsidRPr="002A3909" w:rsidTr="00205277">
        <w:trPr>
          <w:trHeight w:val="345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695A03" w:rsidP="00695A03">
            <w:r>
              <w:t>Growth Mindset Coach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0C24FE" w:rsidRDefault="00695A03" w:rsidP="00695A03">
            <w:r w:rsidRPr="000C24FE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205277" w:rsidP="00695A03">
            <w: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23BEC" w:rsidRDefault="00205277" w:rsidP="00695A03">
            <w:r>
              <w:t>9.21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Default="00205277" w:rsidP="00695A03">
            <w:r>
              <w:t>9.21</w:t>
            </w:r>
          </w:p>
        </w:tc>
      </w:tr>
      <w:tr w:rsidR="00923572" w:rsidRPr="002A3909" w:rsidTr="00205277"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695A03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Mindset in the Classroom by Mary Cay Ricci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Default="00695A03" w:rsidP="00695A03">
            <w:r w:rsidRPr="000C24FE">
              <w:t xml:space="preserve">Amazon.com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205277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205277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12.15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205277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12.15</w:t>
            </w:r>
          </w:p>
        </w:tc>
      </w:tr>
      <w:tr w:rsidR="00923572" w:rsidRPr="002A3909" w:rsidTr="00205277"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8D7255" w:rsidRDefault="00695A03" w:rsidP="00695A03">
            <w:r w:rsidRPr="008D7255">
              <w:t xml:space="preserve">Mindset: The New Psychology of Success by Carol Dweck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C818E5" w:rsidRDefault="00695A03" w:rsidP="00695A03">
            <w:r w:rsidRPr="00C818E5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8D7255" w:rsidRDefault="00695A03" w:rsidP="00695A03">
            <w:r w:rsidRPr="008D7255">
              <w:t xml:space="preserve">1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8D7255" w:rsidRDefault="00695A03" w:rsidP="00695A03">
            <w:r w:rsidRPr="008D7255">
              <w:t xml:space="preserve">16.00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Default="00695A03" w:rsidP="00695A03">
            <w:r w:rsidRPr="008D7255">
              <w:t xml:space="preserve">16.00 </w:t>
            </w:r>
          </w:p>
        </w:tc>
      </w:tr>
      <w:tr w:rsidR="00923572" w:rsidRPr="002A3909" w:rsidTr="00205277">
        <w:trPr>
          <w:trHeight w:val="354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695A03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Drive</w:t>
            </w:r>
            <w:r w:rsidR="00923572">
              <w:rPr>
                <w:rFonts w:ascii="Segoe UI" w:eastAsia="Times New Roman" w:hAnsi="Segoe UI" w:cs="Segoe UI"/>
                <w:sz w:val="18"/>
                <w:szCs w:val="18"/>
              </w:rPr>
              <w:t>: What Motivates Us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by Dan</w:t>
            </w:r>
            <w:r w:rsidR="00205277">
              <w:rPr>
                <w:rFonts w:ascii="Segoe UI" w:eastAsia="Times New Roman" w:hAnsi="Segoe UI" w:cs="Segoe UI"/>
                <w:sz w:val="18"/>
                <w:szCs w:val="18"/>
              </w:rPr>
              <w:t>iel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Pink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C818E5" w:rsidRDefault="00695A03" w:rsidP="00695A03">
            <w:r w:rsidRPr="00C818E5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205277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205277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8.91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2A3909" w:rsidRDefault="00205277" w:rsidP="00695A03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8.91</w:t>
            </w:r>
          </w:p>
        </w:tc>
      </w:tr>
      <w:tr w:rsidR="00923572" w:rsidRPr="002A3909" w:rsidTr="00205277">
        <w:trPr>
          <w:trHeight w:val="315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DFC" w:rsidRPr="000D70E9" w:rsidRDefault="009E5DFC" w:rsidP="009E5DFC">
            <w:r>
              <w:t>The Talent Code by Daniel Coyle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DFC" w:rsidRPr="00C818E5" w:rsidRDefault="009E5DFC" w:rsidP="009E5DFC">
            <w:r w:rsidRPr="00C818E5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DFC" w:rsidRPr="002A3909" w:rsidRDefault="009E5DFC" w:rsidP="009E5DFC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DFC" w:rsidRPr="000D70E9" w:rsidRDefault="009E5DFC" w:rsidP="009E5DFC">
            <w:r>
              <w:t>20.80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DFC" w:rsidRPr="000D70E9" w:rsidRDefault="009E5DFC" w:rsidP="009E5DFC">
            <w:r>
              <w:t>20.80</w:t>
            </w:r>
          </w:p>
        </w:tc>
      </w:tr>
      <w:tr w:rsidR="00923572" w:rsidRPr="002A3909" w:rsidTr="00205277">
        <w:trPr>
          <w:trHeight w:val="399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95A03" w:rsidRPr="000D70E9" w:rsidRDefault="00695A03" w:rsidP="00695A03">
            <w:r w:rsidRPr="00695A03">
              <w:rPr>
                <w:rFonts w:ascii="Calibri" w:eastAsia="Times New Roman" w:hAnsi="Calibri" w:cs="Calibri"/>
                <w:b/>
                <w:i/>
                <w:sz w:val="24"/>
              </w:rPr>
              <w:t>Student Resources/Books for Read Aloud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95A03" w:rsidRDefault="00695A03" w:rsidP="00695A03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95A03" w:rsidRPr="000D70E9" w:rsidRDefault="00695A03" w:rsidP="00695A0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95A03" w:rsidRPr="000D70E9" w:rsidRDefault="00695A03" w:rsidP="00695A03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95A03" w:rsidRPr="000D70E9" w:rsidRDefault="00695A03" w:rsidP="00695A03">
            <w:r w:rsidRPr="000D70E9">
              <w:t xml:space="preserve"> </w:t>
            </w:r>
          </w:p>
        </w:tc>
      </w:tr>
      <w:tr w:rsidR="00923572" w:rsidRPr="002A3909" w:rsidTr="00205277">
        <w:trPr>
          <w:trHeight w:val="315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695A03" w:rsidP="00695A03">
            <w:r w:rsidRPr="00BC131D">
              <w:t xml:space="preserve"> Almost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695A03" w:rsidP="00695A03">
            <w:r w:rsidRPr="00BC131D">
              <w:t xml:space="preserve">Amazon.com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695A03" w:rsidP="00695A03">
            <w:r w:rsidRPr="00BC131D">
              <w:t xml:space="preserve"> </w:t>
            </w:r>
            <w:r w:rsidR="009E5DF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Default="00695A03" w:rsidP="00695A03">
            <w:r w:rsidRPr="00BC131D">
              <w:t>14.21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695A03" w:rsidP="009E5DFC">
            <w:r w:rsidRPr="00BC131D">
              <w:t xml:space="preserve"> </w:t>
            </w:r>
            <w:r w:rsidR="009E5DFC">
              <w:t>14.21</w:t>
            </w:r>
          </w:p>
        </w:tc>
      </w:tr>
      <w:tr w:rsidR="00695A03" w:rsidRPr="002A3909" w:rsidTr="00205277">
        <w:trPr>
          <w:trHeight w:val="315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695A03" w:rsidP="00695A03">
            <w:r>
              <w:t xml:space="preserve">Listening to My Body: Helping Kids Understand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695A03" w:rsidP="00695A03">
            <w:r w:rsidRPr="00695A03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9E5DFC" w:rsidP="00695A03">
            <w: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9E5DFC" w:rsidP="00695A03">
            <w:r>
              <w:t>12.99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BC131D" w:rsidRDefault="009E5DFC" w:rsidP="00695A03">
            <w:r>
              <w:t>12.99</w:t>
            </w:r>
          </w:p>
        </w:tc>
      </w:tr>
      <w:tr w:rsidR="00923572" w:rsidRPr="002A3909" w:rsidTr="00205277">
        <w:trPr>
          <w:trHeight w:val="327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0D70E9" w:rsidRDefault="00695A03" w:rsidP="00695A03">
            <w:r w:rsidRPr="000D70E9">
              <w:t>You Can Do it Bert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0D70E9" w:rsidRDefault="00695A03" w:rsidP="00695A03">
            <w:r w:rsidRPr="000D70E9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0D70E9" w:rsidRDefault="00695A03" w:rsidP="00695A03">
            <w:r w:rsidRPr="000D70E9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Pr="000D70E9" w:rsidRDefault="00695A03" w:rsidP="00695A03">
            <w:r w:rsidRPr="000D70E9">
              <w:t>12.66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5A03" w:rsidRDefault="00205277" w:rsidP="00695A03">
            <w:r>
              <w:t>12.66</w:t>
            </w:r>
          </w:p>
        </w:tc>
      </w:tr>
      <w:tr w:rsidR="00923572" w:rsidRPr="002A3909" w:rsidTr="00205277">
        <w:trPr>
          <w:trHeight w:val="315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8AA" w:rsidRPr="002A3909" w:rsidRDefault="009658AA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Luigi and the Barefoot Races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8AA" w:rsidRPr="002A3909" w:rsidRDefault="009658AA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8AA" w:rsidRPr="002A3909" w:rsidRDefault="009658AA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8AA" w:rsidRPr="002A3909" w:rsidRDefault="009658AA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58AA" w:rsidRPr="002A3909" w:rsidRDefault="00E91911" w:rsidP="002A3909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7.95</w:t>
            </w:r>
          </w:p>
        </w:tc>
      </w:tr>
      <w:tr w:rsidR="00923572" w:rsidRPr="002A3909" w:rsidTr="00205277">
        <w:trPr>
          <w:trHeight w:val="315"/>
        </w:trPr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9658AA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The Girls Who Couldn’t Sit Still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Amazon.com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10.96 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3909" w:rsidRPr="002A3909" w:rsidRDefault="002A3909" w:rsidP="002A3909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10.96 </w:t>
            </w:r>
          </w:p>
        </w:tc>
      </w:tr>
      <w:tr w:rsidR="00923572" w:rsidRPr="002A3909" w:rsidTr="00205277"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8E" w:rsidRPr="002A3909" w:rsidRDefault="00A92D8E" w:rsidP="00A92D8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Young Genius BRAINS book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8E" w:rsidRPr="002A3909" w:rsidRDefault="00A92D8E" w:rsidP="00A92D8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Amazon.com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8E" w:rsidRPr="002A3909" w:rsidRDefault="00923572" w:rsidP="00A92D8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8E" w:rsidRPr="002A3909" w:rsidRDefault="00A92D8E" w:rsidP="00A92D8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3909">
              <w:rPr>
                <w:rFonts w:ascii="Calibri" w:eastAsia="Times New Roman" w:hAnsi="Calibri" w:cs="Calibri"/>
              </w:rPr>
              <w:t>6.99 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8E" w:rsidRPr="002A3909" w:rsidRDefault="00923572" w:rsidP="00A92D8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41.94</w:t>
            </w:r>
            <w:r w:rsidR="00A92D8E" w:rsidRPr="002A3909">
              <w:rPr>
                <w:rFonts w:ascii="Calibri" w:eastAsia="Times New Roman" w:hAnsi="Calibri" w:cs="Calibri"/>
              </w:rPr>
              <w:t> </w:t>
            </w:r>
          </w:p>
        </w:tc>
      </w:tr>
      <w:tr w:rsidR="00923572" w:rsidRPr="002A3909" w:rsidTr="00205277">
        <w:tc>
          <w:tcPr>
            <w:tcW w:w="612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C25" w:rsidRPr="002A3909" w:rsidRDefault="00205277" w:rsidP="0020527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5277">
              <w:rPr>
                <w:rFonts w:ascii="Calibri" w:eastAsia="Times New Roman" w:hAnsi="Calibri" w:cs="Calibri"/>
              </w:rPr>
              <w:t>Nothing You Can't Do!: The Secret Power of Growth Mindsets </w:t>
            </w:r>
            <w:r w:rsidR="00923572">
              <w:rPr>
                <w:rFonts w:ascii="Calibri" w:eastAsia="Times New Roman" w:hAnsi="Calibri" w:cs="Calibri"/>
              </w:rPr>
              <w:t>(group set)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C25" w:rsidRPr="00AD6C07" w:rsidRDefault="00650C25" w:rsidP="00650C25">
            <w:r w:rsidRPr="00AD6C07">
              <w:t>Amazon.com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C25" w:rsidRPr="002A3909" w:rsidRDefault="00205277" w:rsidP="00650C25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C25" w:rsidRPr="002A3909" w:rsidRDefault="00205277" w:rsidP="00650C25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15.95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0C25" w:rsidRPr="002A3909" w:rsidRDefault="00205277" w:rsidP="00650C25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150.95</w:t>
            </w:r>
          </w:p>
        </w:tc>
      </w:tr>
      <w:tr w:rsidR="00923572" w:rsidRPr="002A3909" w:rsidTr="00923572">
        <w:trPr>
          <w:trHeight w:val="417"/>
        </w:trPr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05277" w:rsidRPr="003945FA" w:rsidRDefault="00A77257" w:rsidP="00A77257">
            <w:r w:rsidRPr="00A77257">
              <w:rPr>
                <w:rFonts w:ascii="Calibri" w:eastAsia="Times New Roman" w:hAnsi="Calibri" w:cs="Calibri"/>
                <w:b/>
                <w:i/>
                <w:sz w:val="24"/>
              </w:rPr>
              <w:t>Resources/Games/Hands On Activities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05277" w:rsidRPr="00AD6C07" w:rsidRDefault="00205277" w:rsidP="00650C25"/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05277" w:rsidRPr="003945FA" w:rsidRDefault="00205277" w:rsidP="00650C25"/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05277" w:rsidRPr="003945FA" w:rsidRDefault="00205277" w:rsidP="00650C25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05277" w:rsidRPr="003945FA" w:rsidRDefault="00205277" w:rsidP="00650C25"/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A77257" w:rsidP="00650C25">
            <w:r>
              <w:t>Plush Neurons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C25" w:rsidRPr="00AD6C07" w:rsidRDefault="00650C25" w:rsidP="00650C25">
            <w:r w:rsidRPr="00AD6C07">
              <w:t xml:space="preserve">Amazon.com 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C25" w:rsidRPr="003945FA" w:rsidRDefault="00650C25" w:rsidP="00650C25">
            <w:r w:rsidRPr="003945FA">
              <w:t xml:space="preserve">2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C25" w:rsidRPr="003945FA" w:rsidRDefault="00650C25" w:rsidP="00650C25">
            <w:r w:rsidRPr="003945FA">
              <w:t xml:space="preserve">9.90 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C25" w:rsidRPr="003945FA" w:rsidRDefault="00650C25" w:rsidP="00650C25">
            <w:r w:rsidRPr="003945FA">
              <w:t xml:space="preserve">19.80 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05277" w:rsidRPr="003945FA" w:rsidRDefault="009E5DFC" w:rsidP="00650C25">
            <w:r>
              <w:t xml:space="preserve">Brick Logic 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05277" w:rsidRPr="00AD6C07" w:rsidRDefault="009E5DFC" w:rsidP="00650C25">
            <w:r>
              <w:t>Amazon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05277" w:rsidRPr="003945FA" w:rsidRDefault="009E5DFC" w:rsidP="00650C25">
            <w: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05277" w:rsidRPr="003945FA" w:rsidRDefault="009E5DFC" w:rsidP="00650C25">
            <w:r>
              <w:t>14.99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205277" w:rsidRPr="003945FA" w:rsidRDefault="009E5DFC" w:rsidP="00650C25">
            <w:r>
              <w:t>14.99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>
              <w:t>Labels for the Library: Property of Growth Mindset Library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AD6C07" w:rsidRDefault="00A77257" w:rsidP="00650C25">
            <w:r>
              <w:t>Vistaprint</w:t>
            </w:r>
            <w:r w:rsidR="00650C25" w:rsidRPr="00AD6C07">
              <w:t xml:space="preserve"> 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A77257" w:rsidP="00650C25">
            <w: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A77257" w:rsidP="00650C25">
            <w:r>
              <w:t>12.00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A77257" w:rsidP="00650C25">
            <w:r>
              <w:t>12.00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 w:rsidRPr="003945FA">
              <w:t xml:space="preserve">Brain Erasers 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 w:rsidRPr="00AD6C07">
              <w:t>Amazon.com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 w:rsidRPr="003945FA">
              <w:t xml:space="preserve"> </w:t>
            </w:r>
            <w:r>
              <w:t>2 packs</w:t>
            </w:r>
            <w:r w:rsidRPr="003945FA">
              <w:t xml:space="preserve">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>
              <w:t>6.99</w:t>
            </w:r>
            <w:r w:rsidRPr="003945FA">
              <w:t xml:space="preserve">  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 w:rsidRPr="003945FA">
              <w:t>1</w:t>
            </w:r>
            <w:r>
              <w:t>4</w:t>
            </w:r>
            <w:r w:rsidRPr="003945FA">
              <w:t xml:space="preserve">.00 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695A03" w:rsidRDefault="00650C25" w:rsidP="00650C25">
            <w:pPr>
              <w:ind w:right="-456"/>
            </w:pPr>
            <w:r w:rsidRPr="00695A03">
              <w:t>Brain Teaser Ball</w:t>
            </w:r>
            <w:r w:rsidR="00923572">
              <w:t xml:space="preserve"> (set of 8 for group)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7F494A" w:rsidRDefault="00650C25" w:rsidP="00650C25">
            <w:r w:rsidRPr="007F494A">
              <w:t>Amazon.com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>
              <w:t>8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>
              <w:t>8.99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>
              <w:t>81.00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695A03" w:rsidRDefault="00650C25" w:rsidP="00650C25">
            <w:r w:rsidRPr="00695A03">
              <w:lastRenderedPageBreak/>
              <w:t>Brain Games Kids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7F494A" w:rsidRDefault="00650C25" w:rsidP="00650C25">
            <w:r w:rsidRPr="007F494A">
              <w:t xml:space="preserve">Amazon.com 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>
              <w:t>19.99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650C25" w:rsidP="00650C25">
            <w:r>
              <w:t>19.00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695A03" w:rsidRDefault="00650C25" w:rsidP="00650C25">
            <w:r w:rsidRPr="00695A03">
              <w:t>Sainsmart Tetris Puzzle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7F494A" w:rsidRDefault="00650C25" w:rsidP="00650C25">
            <w:r w:rsidRPr="007F494A">
              <w:t xml:space="preserve">Amazon.com 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923572" w:rsidP="00650C25">
            <w: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>
              <w:t>14.95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3945FA" w:rsidRDefault="00923572" w:rsidP="00650C25">
            <w:r>
              <w:t>14.95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Pr="00695A03" w:rsidRDefault="00650C25" w:rsidP="00650C25">
            <w:r w:rsidRPr="00695A03">
              <w:t>Mindfulness Matters Game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 w:rsidRPr="007F494A">
              <w:t>Amazon.com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650C25" w:rsidP="00650C25">
            <w:r>
              <w:t>19.99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50C25" w:rsidRDefault="00A77257" w:rsidP="00650C25">
            <w:r>
              <w:t>19.99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23572" w:rsidRPr="00695A03" w:rsidRDefault="00923572" w:rsidP="00650C25">
            <w:r>
              <w:t>Teachers Pay Teachers Printable Activities on Growth Mindset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23572" w:rsidRPr="007F494A" w:rsidRDefault="00923572" w:rsidP="00650C25">
            <w:r w:rsidRPr="00923572">
              <w:rPr>
                <w:sz w:val="20"/>
              </w:rPr>
              <w:t>Teacherspayteachers.com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>
            <w:r>
              <w:t>1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>
            <w:r>
              <w:t>20.00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>
            <w:r>
              <w:t>20.00</w:t>
            </w:r>
          </w:p>
        </w:tc>
      </w:tr>
      <w:tr w:rsidR="00923572" w:rsidRPr="002A3909" w:rsidTr="00923572">
        <w:tc>
          <w:tcPr>
            <w:tcW w:w="56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>
            <w:r>
              <w:t>TOTAL REQUEST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572" w:rsidRPr="00923572" w:rsidRDefault="00923572" w:rsidP="00650C25">
            <w:pPr>
              <w:rPr>
                <w:sz w:val="20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/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572" w:rsidRDefault="00923572" w:rsidP="00650C25">
            <w:r>
              <w:t>496.12</w:t>
            </w:r>
          </w:p>
        </w:tc>
      </w:tr>
    </w:tbl>
    <w:p w:rsidR="002A3909" w:rsidRDefault="002A3909"/>
    <w:p w:rsidR="002A3909" w:rsidRDefault="002A3909"/>
    <w:p w:rsidR="000F389C" w:rsidRDefault="000F389C">
      <w:r w:rsidRPr="00650C25">
        <w:rPr>
          <w:u w:val="single"/>
        </w:rPr>
        <w:t xml:space="preserve">How long will it take to complete the </w:t>
      </w:r>
      <w:r w:rsidR="009D7DEA" w:rsidRPr="00650C25">
        <w:rPr>
          <w:u w:val="single"/>
        </w:rPr>
        <w:t>project</w:t>
      </w:r>
      <w:r w:rsidR="009D7DEA">
        <w:t>?</w:t>
      </w:r>
      <w:r w:rsidR="00650C25">
        <w:t xml:space="preserve"> </w:t>
      </w:r>
      <w:r w:rsidR="00650C25" w:rsidRPr="00E2000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Once funded, the resource library will be created and the initiatives listed here will be completed by April 2018</w:t>
      </w:r>
    </w:p>
    <w:p w:rsidR="00EA21CF" w:rsidRDefault="00EA21CF">
      <w:bookmarkStart w:id="0" w:name="_GoBack"/>
      <w:bookmarkEnd w:id="0"/>
    </w:p>
    <w:p w:rsidR="000F389C" w:rsidRDefault="000F389C"/>
    <w:sectPr w:rsidR="000F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9C"/>
    <w:rsid w:val="000727A9"/>
    <w:rsid w:val="000A348B"/>
    <w:rsid w:val="000B2DA5"/>
    <w:rsid w:val="000F389C"/>
    <w:rsid w:val="00112215"/>
    <w:rsid w:val="00205277"/>
    <w:rsid w:val="002707BB"/>
    <w:rsid w:val="002A3909"/>
    <w:rsid w:val="00363FD3"/>
    <w:rsid w:val="00373095"/>
    <w:rsid w:val="004228A7"/>
    <w:rsid w:val="004A6DA8"/>
    <w:rsid w:val="00650C25"/>
    <w:rsid w:val="00673AE8"/>
    <w:rsid w:val="00695A03"/>
    <w:rsid w:val="006E5543"/>
    <w:rsid w:val="007562D3"/>
    <w:rsid w:val="007E381E"/>
    <w:rsid w:val="00923572"/>
    <w:rsid w:val="009658AA"/>
    <w:rsid w:val="009D7DEA"/>
    <w:rsid w:val="009E5DFC"/>
    <w:rsid w:val="00A2387A"/>
    <w:rsid w:val="00A31BFF"/>
    <w:rsid w:val="00A77257"/>
    <w:rsid w:val="00A92D8E"/>
    <w:rsid w:val="00AE2E92"/>
    <w:rsid w:val="00B97B59"/>
    <w:rsid w:val="00C02EA0"/>
    <w:rsid w:val="00CF13A1"/>
    <w:rsid w:val="00D960FA"/>
    <w:rsid w:val="00DE6B30"/>
    <w:rsid w:val="00DF23CC"/>
    <w:rsid w:val="00E20008"/>
    <w:rsid w:val="00E3350B"/>
    <w:rsid w:val="00E63A04"/>
    <w:rsid w:val="00E91911"/>
    <w:rsid w:val="00EA21CF"/>
    <w:rsid w:val="00EF4D92"/>
    <w:rsid w:val="00F2293F"/>
    <w:rsid w:val="00F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5DEB"/>
  <w15:chartTrackingRefBased/>
  <w15:docId w15:val="{D1601667-902D-4FF9-8076-12F22F3B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A3909"/>
  </w:style>
  <w:style w:type="character" w:customStyle="1" w:styleId="apple-converted-space">
    <w:name w:val="apple-converted-space"/>
    <w:basedOn w:val="DefaultParagraphFont"/>
    <w:rsid w:val="002A3909"/>
  </w:style>
  <w:style w:type="paragraph" w:customStyle="1" w:styleId="paragraph">
    <w:name w:val="paragraph"/>
    <w:basedOn w:val="Normal"/>
    <w:rsid w:val="002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A3909"/>
  </w:style>
  <w:style w:type="character" w:styleId="CommentReference">
    <w:name w:val="annotation reference"/>
    <w:basedOn w:val="DefaultParagraphFont"/>
    <w:uiPriority w:val="99"/>
    <w:semiHidden/>
    <w:unhideWhenUsed/>
    <w:rsid w:val="0092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59B4-F4AB-49FB-AEBE-73916778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2</cp:revision>
  <dcterms:created xsi:type="dcterms:W3CDTF">2017-12-14T16:12:00Z</dcterms:created>
  <dcterms:modified xsi:type="dcterms:W3CDTF">2017-12-14T16:12:00Z</dcterms:modified>
</cp:coreProperties>
</file>